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0B232" w14:textId="77777777" w:rsidR="004B6C56" w:rsidRDefault="009D1185" w:rsidP="004B6C56">
      <w:pPr>
        <w:rPr>
          <w:sz w:val="24"/>
          <w:szCs w:val="24"/>
          <w:lang w:val="uk-UA"/>
        </w:rPr>
      </w:pPr>
      <w:r w:rsidRPr="0036177C">
        <w:rPr>
          <w:i/>
          <w:sz w:val="24"/>
          <w:szCs w:val="24"/>
          <w:lang w:val="uk-UA"/>
        </w:rPr>
        <w:t>Список об’єктів, вказаних у додатку І додається</w:t>
      </w:r>
      <w:r>
        <w:rPr>
          <w:sz w:val="24"/>
          <w:szCs w:val="24"/>
          <w:lang w:val="uk-UA"/>
        </w:rPr>
        <w:t xml:space="preserve">. </w:t>
      </w:r>
    </w:p>
    <w:p w14:paraId="6E8711D6" w14:textId="1A80F2B8" w:rsidR="0036177C" w:rsidRPr="00751F62" w:rsidRDefault="0036177C" w:rsidP="004B6C56">
      <w:pPr>
        <w:jc w:val="center"/>
        <w:rPr>
          <w:i/>
          <w:sz w:val="20"/>
          <w:szCs w:val="20"/>
          <w:lang w:val="uk-UA"/>
        </w:rPr>
      </w:pPr>
      <w:r w:rsidRPr="00751F62">
        <w:rPr>
          <w:i/>
          <w:sz w:val="20"/>
          <w:szCs w:val="20"/>
          <w:lang w:val="uk-UA"/>
        </w:rPr>
        <w:t>ДОДАТОК І</w:t>
      </w:r>
    </w:p>
    <w:p w14:paraId="4EC43F8B" w14:textId="77777777" w:rsidR="0036177C" w:rsidRPr="00751F62" w:rsidRDefault="0036177C" w:rsidP="008200F6">
      <w:pPr>
        <w:ind w:right="-180"/>
        <w:contextualSpacing/>
        <w:jc w:val="center"/>
        <w:rPr>
          <w:b/>
          <w:sz w:val="20"/>
          <w:szCs w:val="20"/>
          <w:lang w:val="uk-UA"/>
        </w:rPr>
      </w:pPr>
      <w:r w:rsidRPr="00751F62">
        <w:rPr>
          <w:b/>
          <w:sz w:val="20"/>
          <w:szCs w:val="20"/>
          <w:lang w:val="uk-UA"/>
        </w:rPr>
        <w:t>ПРОЕКТИ, ЯКІ ВІДПОВІДАЮТЬ УМОВАМ ЧАСТИНИ 1 СТАТТІ 4</w:t>
      </w:r>
    </w:p>
    <w:tbl>
      <w:tblPr>
        <w:tblStyle w:val="45"/>
        <w:tblW w:w="0" w:type="auto"/>
        <w:tblLook w:val="04A0" w:firstRow="1" w:lastRow="0" w:firstColumn="1" w:lastColumn="0" w:noHBand="0" w:noVBand="1"/>
      </w:tblPr>
      <w:tblGrid>
        <w:gridCol w:w="630"/>
        <w:gridCol w:w="8715"/>
      </w:tblGrid>
      <w:tr w:rsidR="00862D21" w:rsidRPr="00862D21" w14:paraId="734E71D6" w14:textId="77777777" w:rsidTr="00561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right w:val="single" w:sz="4" w:space="0" w:color="5B9BD5" w:themeColor="accent1"/>
            </w:tcBorders>
            <w:shd w:val="clear" w:color="auto" w:fill="FFFFFF" w:themeFill="background1"/>
            <w:vAlign w:val="center"/>
          </w:tcPr>
          <w:p w14:paraId="59C69AA0" w14:textId="77777777" w:rsidR="00862D21" w:rsidRPr="008200F6" w:rsidRDefault="00862D21" w:rsidP="00F61E19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8200F6">
              <w:rPr>
                <w:color w:val="000000" w:themeColor="text1"/>
                <w:sz w:val="20"/>
                <w:szCs w:val="20"/>
                <w:lang w:val="uk-UA"/>
              </w:rPr>
              <w:t>1.</w:t>
            </w:r>
          </w:p>
        </w:tc>
        <w:tc>
          <w:tcPr>
            <w:tcW w:w="8715" w:type="dxa"/>
            <w:tcBorders>
              <w:left w:val="single" w:sz="4" w:space="0" w:color="5B9BD5" w:themeColor="accent1"/>
            </w:tcBorders>
            <w:shd w:val="clear" w:color="auto" w:fill="FFFFFF" w:themeFill="background1"/>
          </w:tcPr>
          <w:p w14:paraId="3326D1E1" w14:textId="77777777" w:rsidR="00862D21" w:rsidRPr="008200F6" w:rsidRDefault="00862D21" w:rsidP="00627FF9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  <w:lang w:val="uk-UA"/>
              </w:rPr>
            </w:pPr>
            <w:r w:rsidRPr="008200F6">
              <w:rPr>
                <w:b w:val="0"/>
                <w:color w:val="000000" w:themeColor="text1"/>
                <w:sz w:val="20"/>
                <w:szCs w:val="20"/>
                <w:lang w:val="uk-UA"/>
              </w:rPr>
              <w:t>Нафтопереробні заводи (окрім підприємств, які ви</w:t>
            </w:r>
            <w:bookmarkStart w:id="0" w:name="_GoBack"/>
            <w:bookmarkEnd w:id="0"/>
            <w:r w:rsidRPr="008200F6">
              <w:rPr>
                <w:b w:val="0"/>
                <w:color w:val="000000" w:themeColor="text1"/>
                <w:sz w:val="20"/>
                <w:szCs w:val="20"/>
                <w:lang w:val="uk-UA"/>
              </w:rPr>
              <w:t>робляють з нафти тільки змазки) і обладнання для газифікації та зрідження вугілля або бітумних сланців з продуктивністю 500 т і більше на день.</w:t>
            </w:r>
          </w:p>
        </w:tc>
      </w:tr>
      <w:tr w:rsidR="008200F6" w:rsidRPr="00862D21" w14:paraId="7CE81204" w14:textId="77777777" w:rsidTr="0056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 w:val="restart"/>
            <w:vAlign w:val="center"/>
          </w:tcPr>
          <w:p w14:paraId="23721B6D" w14:textId="77777777" w:rsidR="008200F6" w:rsidRPr="00862D21" w:rsidRDefault="008200F6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8715" w:type="dxa"/>
          </w:tcPr>
          <w:p w14:paraId="6B92E1A9" w14:textId="77777777" w:rsidR="008200F6" w:rsidRPr="00862D21" w:rsidRDefault="008200F6" w:rsidP="00627FF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 xml:space="preserve">- Теплоелектроцентралі та інше обладнання для спалення з тепловою потужністю 300 мегават і більше, і </w:t>
            </w:r>
          </w:p>
        </w:tc>
      </w:tr>
      <w:tr w:rsidR="008200F6" w:rsidRPr="004B6C56" w14:paraId="0901BE2C" w14:textId="77777777" w:rsidTr="00561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vAlign w:val="center"/>
          </w:tcPr>
          <w:p w14:paraId="6E082CF2" w14:textId="77777777" w:rsidR="008200F6" w:rsidRPr="00862D21" w:rsidRDefault="008200F6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15" w:type="dxa"/>
          </w:tcPr>
          <w:p w14:paraId="4AB125BE" w14:textId="77777777" w:rsidR="008200F6" w:rsidRPr="00862D21" w:rsidRDefault="008200F6" w:rsidP="00627FF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 xml:space="preserve"> - атомні електростанції та інші атомні реактори, а також демонтаж або вилучення з експлуатації такої атомної електростанції чи реакторів(</w:t>
            </w:r>
            <w:r w:rsidRPr="00862D21">
              <w:rPr>
                <w:rStyle w:val="a6"/>
                <w:sz w:val="20"/>
                <w:szCs w:val="20"/>
                <w:lang w:val="uk-UA"/>
              </w:rPr>
              <w:footnoteReference w:customMarkFollows="1" w:id="1"/>
              <w:t>*</w:t>
            </w:r>
            <w:r w:rsidRPr="00862D21">
              <w:rPr>
                <w:sz w:val="20"/>
                <w:szCs w:val="20"/>
                <w:lang w:val="uk-UA"/>
              </w:rPr>
              <w:t>)(за винятком дослідного обладнання для вироблення і переробки збагачених матеріалів та тих, що піддаються розчепленню</w:t>
            </w:r>
            <w:r w:rsidRPr="00862D21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62D21">
              <w:rPr>
                <w:sz w:val="20"/>
                <w:szCs w:val="20"/>
                <w:lang w:val="uk-UA"/>
              </w:rPr>
              <w:t>з потужністю не більше 1 кіловату при постійному тепловому навантаженні).</w:t>
            </w:r>
          </w:p>
        </w:tc>
      </w:tr>
      <w:tr w:rsidR="008200F6" w:rsidRPr="00862D21" w14:paraId="34B9E782" w14:textId="77777777" w:rsidTr="0056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 w:val="restart"/>
            <w:vAlign w:val="center"/>
          </w:tcPr>
          <w:p w14:paraId="22E950CA" w14:textId="77777777" w:rsidR="008200F6" w:rsidRPr="00862D21" w:rsidRDefault="008200F6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8715" w:type="dxa"/>
          </w:tcPr>
          <w:p w14:paraId="6BCD0EB3" w14:textId="77777777" w:rsidR="008200F6" w:rsidRPr="00862D21" w:rsidRDefault="008200F6" w:rsidP="00627FF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(а) Обладнання для переробки опроміненого ядерного палива;</w:t>
            </w:r>
          </w:p>
        </w:tc>
      </w:tr>
      <w:tr w:rsidR="008200F6" w:rsidRPr="00862D21" w14:paraId="4FCAAD17" w14:textId="77777777" w:rsidTr="00561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vAlign w:val="center"/>
          </w:tcPr>
          <w:p w14:paraId="5AF33114" w14:textId="77777777" w:rsidR="008200F6" w:rsidRPr="00862D21" w:rsidRDefault="008200F6" w:rsidP="00F61E1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5" w:type="dxa"/>
          </w:tcPr>
          <w:p w14:paraId="3EAEB7B7" w14:textId="77777777" w:rsidR="008200F6" w:rsidRPr="00862D21" w:rsidRDefault="008200F6" w:rsidP="00627FF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</w:rPr>
              <w:t>(</w:t>
            </w:r>
            <w:r w:rsidRPr="00862D21">
              <w:rPr>
                <w:sz w:val="20"/>
                <w:szCs w:val="20"/>
                <w:lang w:val="en-US"/>
              </w:rPr>
              <w:t>b</w:t>
            </w:r>
            <w:r w:rsidRPr="00862D21">
              <w:rPr>
                <w:sz w:val="20"/>
                <w:szCs w:val="20"/>
                <w:lang w:val="uk-UA"/>
              </w:rPr>
              <w:t>) Обладнання для:</w:t>
            </w:r>
          </w:p>
        </w:tc>
      </w:tr>
      <w:tr w:rsidR="008200F6" w:rsidRPr="00862D21" w14:paraId="00447B75" w14:textId="77777777" w:rsidTr="0056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vAlign w:val="center"/>
          </w:tcPr>
          <w:p w14:paraId="2D5F1B61" w14:textId="77777777" w:rsidR="008200F6" w:rsidRPr="00862D21" w:rsidRDefault="008200F6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15" w:type="dxa"/>
          </w:tcPr>
          <w:p w14:paraId="34AA31C7" w14:textId="77777777" w:rsidR="008200F6" w:rsidRPr="00862D21" w:rsidRDefault="008200F6" w:rsidP="00627FF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- вироблення і збагачення ядерного палива,</w:t>
            </w:r>
          </w:p>
        </w:tc>
      </w:tr>
      <w:tr w:rsidR="008200F6" w:rsidRPr="00862D21" w14:paraId="2B69EDF0" w14:textId="77777777" w:rsidTr="00561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vAlign w:val="center"/>
          </w:tcPr>
          <w:p w14:paraId="5E40FB03" w14:textId="77777777" w:rsidR="008200F6" w:rsidRPr="00862D21" w:rsidRDefault="008200F6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15" w:type="dxa"/>
          </w:tcPr>
          <w:p w14:paraId="7DEA952D" w14:textId="77777777" w:rsidR="008200F6" w:rsidRPr="00862D21" w:rsidRDefault="008200F6" w:rsidP="00627FF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- переробки опроміненого ядерного палива або високо радіоактивних відходів,</w:t>
            </w:r>
          </w:p>
        </w:tc>
      </w:tr>
      <w:tr w:rsidR="008200F6" w:rsidRPr="00862D21" w14:paraId="2A9E522D" w14:textId="77777777" w:rsidTr="0056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vAlign w:val="center"/>
          </w:tcPr>
          <w:p w14:paraId="19D9DD24" w14:textId="77777777" w:rsidR="008200F6" w:rsidRPr="00862D21" w:rsidRDefault="008200F6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15" w:type="dxa"/>
          </w:tcPr>
          <w:p w14:paraId="56057675" w14:textId="77777777" w:rsidR="008200F6" w:rsidRPr="00862D21" w:rsidRDefault="008200F6" w:rsidP="00627FF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- остаточного знешкодження опроміненого ядерного палива,</w:t>
            </w:r>
          </w:p>
        </w:tc>
      </w:tr>
      <w:tr w:rsidR="008200F6" w:rsidRPr="00862D21" w14:paraId="0703CD95" w14:textId="77777777" w:rsidTr="00561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vAlign w:val="center"/>
          </w:tcPr>
          <w:p w14:paraId="16C362DD" w14:textId="77777777" w:rsidR="008200F6" w:rsidRPr="00862D21" w:rsidRDefault="008200F6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15" w:type="dxa"/>
          </w:tcPr>
          <w:p w14:paraId="60B47BF2" w14:textId="77777777" w:rsidR="008200F6" w:rsidRPr="00862D21" w:rsidRDefault="008200F6" w:rsidP="00627FF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- виключно для остаточного знешкодження радіоактивних відходів,</w:t>
            </w:r>
          </w:p>
        </w:tc>
      </w:tr>
      <w:tr w:rsidR="008200F6" w:rsidRPr="004B6C56" w14:paraId="64917599" w14:textId="77777777" w:rsidTr="0056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vAlign w:val="center"/>
          </w:tcPr>
          <w:p w14:paraId="37F2785D" w14:textId="77777777" w:rsidR="008200F6" w:rsidRPr="00862D21" w:rsidRDefault="008200F6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15" w:type="dxa"/>
          </w:tcPr>
          <w:p w14:paraId="6C005A34" w14:textId="77777777" w:rsidR="008200F6" w:rsidRPr="00862D21" w:rsidRDefault="008200F6" w:rsidP="00627FF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- виключно для зберігання (запланованого більш, ніж на 10 років) опроміненого ядерного палива або радіоактивних відходів в іншому ніж місце вироблення місці.</w:t>
            </w:r>
          </w:p>
        </w:tc>
      </w:tr>
      <w:tr w:rsidR="008200F6" w:rsidRPr="00862D21" w14:paraId="55FE82AF" w14:textId="77777777" w:rsidTr="00561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 w:val="restart"/>
            <w:vAlign w:val="center"/>
          </w:tcPr>
          <w:p w14:paraId="3B596066" w14:textId="77777777" w:rsidR="008200F6" w:rsidRPr="00862D21" w:rsidRDefault="008200F6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8715" w:type="dxa"/>
          </w:tcPr>
          <w:p w14:paraId="6ED3FF85" w14:textId="77777777" w:rsidR="008200F6" w:rsidRPr="00862D21" w:rsidRDefault="008200F6" w:rsidP="00627FF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– Комбінати для початкового витоплення заліза і сталі,</w:t>
            </w:r>
          </w:p>
        </w:tc>
      </w:tr>
      <w:tr w:rsidR="008200F6" w:rsidRPr="00862D21" w14:paraId="73B55CF0" w14:textId="77777777" w:rsidTr="0056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vAlign w:val="center"/>
          </w:tcPr>
          <w:p w14:paraId="1FE846AC" w14:textId="77777777" w:rsidR="008200F6" w:rsidRPr="00862D21" w:rsidRDefault="008200F6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15" w:type="dxa"/>
          </w:tcPr>
          <w:p w14:paraId="2CEBF8D2" w14:textId="77777777" w:rsidR="008200F6" w:rsidRPr="00862D21" w:rsidRDefault="008200F6" w:rsidP="00627FF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62D21">
              <w:rPr>
                <w:sz w:val="20"/>
                <w:szCs w:val="20"/>
                <w:lang w:val="uk-UA"/>
              </w:rPr>
              <w:t>- Обладнання для вироблення кольорових необроблених металів з руд, концентратів або вторинної сировини при використанні металургійних, хімічних чи електролітичних процесів.</w:t>
            </w:r>
          </w:p>
        </w:tc>
      </w:tr>
      <w:tr w:rsidR="00862D21" w:rsidRPr="004B6C56" w14:paraId="1463B24D" w14:textId="77777777" w:rsidTr="00561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FBB5C6D" w14:textId="77777777" w:rsidR="00862D21" w:rsidRPr="00862D21" w:rsidRDefault="008200F6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8715" w:type="dxa"/>
          </w:tcPr>
          <w:p w14:paraId="21D5712E" w14:textId="77777777" w:rsidR="00862D21" w:rsidRPr="00862D21" w:rsidRDefault="00862D21" w:rsidP="00627FF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Обладнання для видобутку азбесту, переробки і перетворення азбесту і продуктів, які містять азбест: для азбестово-цементних виробів з річною продуктивністю більше 20 000 т кінцевого продукту, для фрикційних матеріалів з річною продуктивністю більше 50 т кінцевого продукту і для інших застосувань азбесту, які споживають його в кількості більше 200 т на рік.</w:t>
            </w:r>
          </w:p>
        </w:tc>
      </w:tr>
      <w:tr w:rsidR="008200F6" w:rsidRPr="004B6C56" w14:paraId="3CE7C906" w14:textId="77777777" w:rsidTr="0056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 w:val="restart"/>
            <w:vAlign w:val="center"/>
          </w:tcPr>
          <w:p w14:paraId="4FBBFD7A" w14:textId="77777777" w:rsidR="008200F6" w:rsidRPr="00862D21" w:rsidRDefault="008200F6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8715" w:type="dxa"/>
          </w:tcPr>
          <w:p w14:paraId="79F8126D" w14:textId="77777777" w:rsidR="008200F6" w:rsidRPr="00862D21" w:rsidRDefault="008200F6" w:rsidP="00627FF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Інтегроване хімічне обладнання, тобто обладнання, призначене для виготовлення в промислових масштабах речовин з використанням хімічних реакцій перетворення, в яких присутній ряд наближених і функціонально взаємопов’язаних складів, які призначені для:</w:t>
            </w:r>
          </w:p>
        </w:tc>
      </w:tr>
      <w:tr w:rsidR="008200F6" w:rsidRPr="00862D21" w14:paraId="432AEEDB" w14:textId="77777777" w:rsidTr="00561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</w:tcPr>
          <w:p w14:paraId="2317B489" w14:textId="77777777" w:rsidR="008200F6" w:rsidRPr="00862D21" w:rsidRDefault="008200F6" w:rsidP="00627FF9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715" w:type="dxa"/>
          </w:tcPr>
          <w:p w14:paraId="5F75BEF0" w14:textId="77777777" w:rsidR="008200F6" w:rsidRPr="00862D21" w:rsidRDefault="008200F6" w:rsidP="00627FF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і) виготовлення основних хімічних органічних речовин;</w:t>
            </w:r>
          </w:p>
        </w:tc>
      </w:tr>
      <w:tr w:rsidR="008200F6" w:rsidRPr="00862D21" w14:paraId="45918737" w14:textId="77777777" w:rsidTr="0056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</w:tcPr>
          <w:p w14:paraId="611A1016" w14:textId="77777777" w:rsidR="008200F6" w:rsidRPr="00862D21" w:rsidRDefault="008200F6" w:rsidP="00627FF9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715" w:type="dxa"/>
          </w:tcPr>
          <w:p w14:paraId="3FE8159A" w14:textId="77777777" w:rsidR="008200F6" w:rsidRPr="00862D21" w:rsidRDefault="008200F6" w:rsidP="00627FF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іі) виготовлення основних неорганічних хімікалій;</w:t>
            </w:r>
          </w:p>
        </w:tc>
      </w:tr>
      <w:tr w:rsidR="008200F6" w:rsidRPr="00862D21" w14:paraId="3821690C" w14:textId="77777777" w:rsidTr="00561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</w:tcPr>
          <w:p w14:paraId="7AFD33C0" w14:textId="77777777" w:rsidR="008200F6" w:rsidRPr="00862D21" w:rsidRDefault="008200F6" w:rsidP="00627FF9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715" w:type="dxa"/>
          </w:tcPr>
          <w:p w14:paraId="5EB746BB" w14:textId="77777777" w:rsidR="008200F6" w:rsidRPr="00862D21" w:rsidRDefault="008200F6" w:rsidP="00627FF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ііі) виготовлення фосфорних, азотних або калійних мінеральних добрив (простих і складних);</w:t>
            </w:r>
          </w:p>
        </w:tc>
      </w:tr>
      <w:tr w:rsidR="008200F6" w:rsidRPr="00862D21" w14:paraId="064A7A5A" w14:textId="77777777" w:rsidTr="0056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</w:tcPr>
          <w:p w14:paraId="74C7C786" w14:textId="77777777" w:rsidR="008200F6" w:rsidRPr="00862D21" w:rsidRDefault="008200F6" w:rsidP="00627FF9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715" w:type="dxa"/>
          </w:tcPr>
          <w:p w14:paraId="2F3E5B8A" w14:textId="77777777" w:rsidR="008200F6" w:rsidRPr="00862D21" w:rsidRDefault="008200F6" w:rsidP="00627FF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іv) виготовлення базових речовин для препаратів охорони рослин і пестицидів;</w:t>
            </w:r>
          </w:p>
        </w:tc>
      </w:tr>
      <w:tr w:rsidR="008200F6" w:rsidRPr="00862D21" w14:paraId="6AF00914" w14:textId="77777777" w:rsidTr="00561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</w:tcPr>
          <w:p w14:paraId="72449187" w14:textId="77777777" w:rsidR="008200F6" w:rsidRPr="00862D21" w:rsidRDefault="008200F6" w:rsidP="00627FF9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715" w:type="dxa"/>
          </w:tcPr>
          <w:p w14:paraId="4B8FE925" w14:textId="77777777" w:rsidR="008200F6" w:rsidRPr="00862D21" w:rsidRDefault="008200F6" w:rsidP="00627FF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v) виготовлення основної фармацевтичної продукції з використанням хімічних процесів або біологічних;</w:t>
            </w:r>
          </w:p>
        </w:tc>
      </w:tr>
      <w:tr w:rsidR="008200F6" w:rsidRPr="00862D21" w14:paraId="197E6B82" w14:textId="77777777" w:rsidTr="0056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</w:tcPr>
          <w:p w14:paraId="15993FE6" w14:textId="77777777" w:rsidR="008200F6" w:rsidRPr="00862D21" w:rsidRDefault="008200F6" w:rsidP="00627FF9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715" w:type="dxa"/>
          </w:tcPr>
          <w:p w14:paraId="3335294E" w14:textId="77777777" w:rsidR="008200F6" w:rsidRPr="00862D21" w:rsidRDefault="008200F6" w:rsidP="00627FF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vі) виготовлення вибухових речовин.</w:t>
            </w:r>
          </w:p>
        </w:tc>
      </w:tr>
      <w:tr w:rsidR="00561B7A" w:rsidRPr="004B6C56" w14:paraId="6A46CB90" w14:textId="39E196D0" w:rsidTr="00561B7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right w:val="single" w:sz="4" w:space="0" w:color="auto"/>
            </w:tcBorders>
            <w:vAlign w:val="center"/>
          </w:tcPr>
          <w:p w14:paraId="21EF095C" w14:textId="5182B155" w:rsidR="00561B7A" w:rsidRPr="00862D21" w:rsidRDefault="00561B7A" w:rsidP="009D1185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7. </w:t>
            </w:r>
          </w:p>
        </w:tc>
        <w:tc>
          <w:tcPr>
            <w:tcW w:w="8715" w:type="dxa"/>
            <w:tcBorders>
              <w:left w:val="single" w:sz="4" w:space="0" w:color="auto"/>
            </w:tcBorders>
            <w:vAlign w:val="center"/>
          </w:tcPr>
          <w:p w14:paraId="159AAD77" w14:textId="77777777" w:rsidR="00AB5EB5" w:rsidRPr="00751F62" w:rsidRDefault="00AB5EB5" w:rsidP="00AB5EB5">
            <w:pPr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93FC9">
              <w:rPr>
                <w:sz w:val="20"/>
                <w:szCs w:val="20"/>
              </w:rPr>
              <w:t>(</w:t>
            </w:r>
            <w:r w:rsidRPr="00751F62">
              <w:rPr>
                <w:sz w:val="20"/>
                <w:szCs w:val="20"/>
                <w:lang w:val="uk-UA"/>
              </w:rPr>
              <w:t>а) Будівництво ліній залізничного руху далекого прямування та аеропортів</w:t>
            </w:r>
            <w:r w:rsidRPr="00893FC9">
              <w:rPr>
                <w:sz w:val="20"/>
                <w:szCs w:val="20"/>
              </w:rPr>
              <w:t xml:space="preserve"> (</w:t>
            </w:r>
            <w:r w:rsidRPr="00751F62">
              <w:rPr>
                <w:rStyle w:val="a6"/>
                <w:sz w:val="20"/>
                <w:szCs w:val="20"/>
                <w:lang w:val="uk-UA"/>
              </w:rPr>
              <w:footnoteReference w:id="2"/>
            </w:r>
            <w:r w:rsidRPr="00893FC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uk-UA"/>
              </w:rPr>
              <w:t xml:space="preserve"> з головною злітно-посадковою</w:t>
            </w:r>
            <w:r w:rsidRPr="00751F62">
              <w:rPr>
                <w:sz w:val="20"/>
                <w:szCs w:val="20"/>
                <w:lang w:val="uk-UA"/>
              </w:rPr>
              <w:t xml:space="preserve"> смугою довжиною 2100 м або більше;</w:t>
            </w:r>
          </w:p>
          <w:p w14:paraId="69FD5BEF" w14:textId="77777777" w:rsidR="00AB5EB5" w:rsidRPr="00751F62" w:rsidRDefault="00AB5EB5" w:rsidP="00AB5EB5">
            <w:pPr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F55CF9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en-US"/>
              </w:rPr>
              <w:t>b</w:t>
            </w:r>
            <w:r w:rsidRPr="00751F62">
              <w:rPr>
                <w:sz w:val="20"/>
                <w:szCs w:val="20"/>
                <w:lang w:val="uk-UA"/>
              </w:rPr>
              <w:t>) Будівництво автострад  і доріг швидкого руху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751F62">
              <w:rPr>
                <w:rStyle w:val="a6"/>
                <w:sz w:val="20"/>
                <w:szCs w:val="20"/>
                <w:lang w:val="uk-UA"/>
              </w:rPr>
              <w:footnoteReference w:id="3"/>
            </w:r>
            <w:r>
              <w:rPr>
                <w:sz w:val="20"/>
                <w:szCs w:val="20"/>
                <w:lang w:val="uk-UA"/>
              </w:rPr>
              <w:t>)</w:t>
            </w:r>
            <w:r w:rsidRPr="00751F62">
              <w:rPr>
                <w:sz w:val="20"/>
                <w:szCs w:val="20"/>
                <w:lang w:val="uk-UA"/>
              </w:rPr>
              <w:t>;</w:t>
            </w:r>
          </w:p>
          <w:p w14:paraId="1E63777E" w14:textId="25401F0E" w:rsidR="00561B7A" w:rsidRPr="00862D21" w:rsidRDefault="00AB5EB5" w:rsidP="00AB5EB5">
            <w:pPr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uk-UA"/>
              </w:rPr>
            </w:pPr>
            <w:r w:rsidRPr="00F55CF9">
              <w:rPr>
                <w:sz w:val="20"/>
                <w:szCs w:val="20"/>
                <w:lang w:val="uk-UA"/>
              </w:rPr>
              <w:t>(</w:t>
            </w:r>
            <w:r w:rsidRPr="00751F62">
              <w:rPr>
                <w:sz w:val="20"/>
                <w:szCs w:val="20"/>
                <w:lang w:val="uk-UA"/>
              </w:rPr>
              <w:t>с) Будівництво нової дороги з чотирма або більше смугами, їх вирівнювання або розширення вже існую</w:t>
            </w:r>
            <w:r>
              <w:rPr>
                <w:sz w:val="20"/>
                <w:szCs w:val="20"/>
                <w:lang w:val="uk-UA"/>
              </w:rPr>
              <w:t>чої дороги, яка складається з 2 або менше смуг, щоб побудувати чотири або більше смуг, де така нова дорога або додана смуга чи розширена ділянка дороги простягалася не менш як на 10 км.</w:t>
            </w:r>
          </w:p>
        </w:tc>
      </w:tr>
      <w:tr w:rsidR="009F52FB" w:rsidRPr="00862D21" w14:paraId="73111F3F" w14:textId="77777777" w:rsidTr="0056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 w:val="restart"/>
            <w:vAlign w:val="center"/>
          </w:tcPr>
          <w:p w14:paraId="38FC358B" w14:textId="77777777" w:rsidR="009F52FB" w:rsidRPr="00862D21" w:rsidRDefault="009F52FB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8715" w:type="dxa"/>
          </w:tcPr>
          <w:p w14:paraId="3E9EF45B" w14:textId="77777777" w:rsidR="009F52FB" w:rsidRPr="00862D21" w:rsidRDefault="009F52FB" w:rsidP="00627FF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(а) Внутрішні водні шляхи і внутрішні порти, які дозволяють проходження суден понад 1350 т;</w:t>
            </w:r>
          </w:p>
        </w:tc>
      </w:tr>
      <w:tr w:rsidR="009F52FB" w:rsidRPr="00862D21" w14:paraId="1439ABB6" w14:textId="77777777" w:rsidTr="00561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vAlign w:val="center"/>
          </w:tcPr>
          <w:p w14:paraId="72E8AC12" w14:textId="77777777" w:rsidR="009F52FB" w:rsidRPr="00862D21" w:rsidRDefault="009F52FB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15" w:type="dxa"/>
          </w:tcPr>
          <w:p w14:paraId="631E15DD" w14:textId="77777777" w:rsidR="009F52FB" w:rsidRPr="00862D21" w:rsidRDefault="009F52FB" w:rsidP="00627FF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(</w:t>
            </w:r>
            <w:r w:rsidRPr="00862D21">
              <w:rPr>
                <w:sz w:val="20"/>
                <w:szCs w:val="20"/>
                <w:lang w:val="en-US"/>
              </w:rPr>
              <w:t>b</w:t>
            </w:r>
            <w:r w:rsidRPr="00862D21">
              <w:rPr>
                <w:sz w:val="20"/>
                <w:szCs w:val="20"/>
                <w:lang w:val="uk-UA"/>
              </w:rPr>
              <w:t>) Торговельні порти, причали для завантаження і розвантаження, поєднані з суходолом, а також аванпорти (за винятком причалів для поромів), які можуть прийняти судна понад 1350 т.</w:t>
            </w:r>
          </w:p>
        </w:tc>
      </w:tr>
      <w:tr w:rsidR="00862D21" w:rsidRPr="004B6C56" w14:paraId="223BEB83" w14:textId="77777777" w:rsidTr="0056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37D123A" w14:textId="77777777" w:rsidR="00862D21" w:rsidRPr="00862D21" w:rsidRDefault="009F52FB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8715" w:type="dxa"/>
          </w:tcPr>
          <w:p w14:paraId="7030FBE1" w14:textId="77777777" w:rsidR="00862D21" w:rsidRPr="00862D21" w:rsidRDefault="00862D21" w:rsidP="00627FF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Обладнання для знешкодження відходів шляхом спалення або хімічної обробки, як визначено в Додатку ІІ А до Директиви 75/442/ЄЕС (</w:t>
            </w:r>
            <w:r w:rsidRPr="00862D21">
              <w:rPr>
                <w:rStyle w:val="a6"/>
                <w:sz w:val="20"/>
                <w:szCs w:val="20"/>
                <w:lang w:val="uk-UA"/>
              </w:rPr>
              <w:footnoteReference w:id="4"/>
            </w:r>
            <w:r w:rsidRPr="00862D21">
              <w:rPr>
                <w:sz w:val="20"/>
                <w:szCs w:val="20"/>
                <w:lang w:val="uk-UA"/>
              </w:rPr>
              <w:t>) під заголовком D9, або склад небезпечних відходів (тобто відходів, до яких застосовується Директива 91/689/ЄЕС (</w:t>
            </w:r>
            <w:r w:rsidRPr="00862D21">
              <w:rPr>
                <w:rStyle w:val="a6"/>
                <w:sz w:val="20"/>
                <w:szCs w:val="20"/>
                <w:lang w:val="uk-UA"/>
              </w:rPr>
              <w:footnoteReference w:id="5"/>
            </w:r>
            <w:r w:rsidRPr="00862D21">
              <w:rPr>
                <w:sz w:val="20"/>
                <w:szCs w:val="20"/>
                <w:lang w:val="uk-UA"/>
              </w:rPr>
              <w:t>)).</w:t>
            </w:r>
          </w:p>
        </w:tc>
      </w:tr>
      <w:tr w:rsidR="00862D21" w:rsidRPr="00862D21" w14:paraId="3B9722D4" w14:textId="77777777" w:rsidTr="00561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6FC6D555" w14:textId="77777777" w:rsidR="00862D21" w:rsidRPr="00862D21" w:rsidRDefault="009F52FB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10.</w:t>
            </w:r>
          </w:p>
        </w:tc>
        <w:tc>
          <w:tcPr>
            <w:tcW w:w="8715" w:type="dxa"/>
          </w:tcPr>
          <w:p w14:paraId="39F3086D" w14:textId="77777777" w:rsidR="00862D21" w:rsidRPr="00862D21" w:rsidRDefault="00862D21" w:rsidP="00627FF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Обладнання для знешкодження відходів шляхом спалення або хімічної обробки, як визначено в Додатку ІІ А до Директиви 75/442/ЄЕС</w:t>
            </w:r>
            <w:r w:rsidRPr="00862D21">
              <w:rPr>
                <w:sz w:val="20"/>
                <w:szCs w:val="20"/>
              </w:rPr>
              <w:t xml:space="preserve"> </w:t>
            </w:r>
            <w:r w:rsidRPr="00862D21">
              <w:rPr>
                <w:sz w:val="20"/>
                <w:szCs w:val="20"/>
                <w:lang w:val="uk-UA"/>
              </w:rPr>
              <w:t>під заголовком D9 про не небезпечні відходи з продуктивністю більше 100 т на день.</w:t>
            </w:r>
          </w:p>
        </w:tc>
      </w:tr>
      <w:tr w:rsidR="00862D21" w:rsidRPr="00862D21" w14:paraId="110FCF9C" w14:textId="77777777" w:rsidTr="0056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301FE1B4" w14:textId="77777777" w:rsidR="00862D21" w:rsidRPr="00862D21" w:rsidRDefault="009F52FB" w:rsidP="00F61E19">
            <w:pPr>
              <w:tabs>
                <w:tab w:val="left" w:pos="1800"/>
                <w:tab w:val="left" w:pos="1980"/>
              </w:tabs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</w:t>
            </w:r>
          </w:p>
        </w:tc>
        <w:tc>
          <w:tcPr>
            <w:tcW w:w="8715" w:type="dxa"/>
          </w:tcPr>
          <w:p w14:paraId="52228331" w14:textId="77777777" w:rsidR="00862D21" w:rsidRPr="00862D21" w:rsidRDefault="00862D21" w:rsidP="00627FF9">
            <w:pPr>
              <w:tabs>
                <w:tab w:val="left" w:pos="1800"/>
                <w:tab w:val="left" w:pos="198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Водозбір ґрунтових вод або системи штучного наводнення, де споживання або витрати води складає щонайменше 100 млн. метрів кубічних.</w:t>
            </w:r>
          </w:p>
        </w:tc>
      </w:tr>
      <w:tr w:rsidR="00F61E19" w:rsidRPr="004B6C56" w14:paraId="422169A9" w14:textId="77777777" w:rsidTr="00561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 w:val="restart"/>
            <w:vAlign w:val="center"/>
          </w:tcPr>
          <w:p w14:paraId="269C6139" w14:textId="77777777" w:rsidR="00F61E19" w:rsidRPr="00862D21" w:rsidRDefault="00F61E19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</w:t>
            </w:r>
          </w:p>
        </w:tc>
        <w:tc>
          <w:tcPr>
            <w:tcW w:w="8715" w:type="dxa"/>
          </w:tcPr>
          <w:p w14:paraId="584AA178" w14:textId="77777777" w:rsidR="00F61E19" w:rsidRPr="00862D21" w:rsidRDefault="00F61E19" w:rsidP="00627FF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(а) Проекти, пов’язані з перекачуванням водних засобів між басейнами річок, у випадках, коли він пов’язаний з забезпеченням потенційної недостачі води, а об’єм перекачаної води перевищує 100 млн. метрів кубічних на рік;</w:t>
            </w:r>
          </w:p>
        </w:tc>
      </w:tr>
      <w:tr w:rsidR="00F61E19" w:rsidRPr="004B6C56" w14:paraId="4D20AEA0" w14:textId="77777777" w:rsidTr="0056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vAlign w:val="center"/>
          </w:tcPr>
          <w:p w14:paraId="16DF55E8" w14:textId="77777777" w:rsidR="00F61E19" w:rsidRPr="00862D21" w:rsidRDefault="00F61E19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15" w:type="dxa"/>
          </w:tcPr>
          <w:p w14:paraId="10EF7323" w14:textId="77777777" w:rsidR="00F61E19" w:rsidRPr="00862D21" w:rsidRDefault="00F61E19" w:rsidP="00627FF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(</w:t>
            </w:r>
            <w:r w:rsidRPr="00862D21">
              <w:rPr>
                <w:sz w:val="20"/>
                <w:szCs w:val="20"/>
                <w:lang w:val="en-US"/>
              </w:rPr>
              <w:t>b</w:t>
            </w:r>
            <w:r w:rsidRPr="00862D21">
              <w:rPr>
                <w:sz w:val="20"/>
                <w:szCs w:val="20"/>
                <w:lang w:val="uk-UA"/>
              </w:rPr>
              <w:t>) У всіх інших випадках проекти перекачування водних засобів між басейнами річки за умови багаторічного середнього витоку води з басейну у водозборі перевищує 2000 млн. метрів кубічних, а кількість перекачаної води перевищує 5% цього витоку.</w:t>
            </w:r>
          </w:p>
        </w:tc>
      </w:tr>
      <w:tr w:rsidR="00F61E19" w:rsidRPr="00862D21" w14:paraId="06D9F4F9" w14:textId="77777777" w:rsidTr="00561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vAlign w:val="center"/>
          </w:tcPr>
          <w:p w14:paraId="79D810B4" w14:textId="77777777" w:rsidR="00F61E19" w:rsidRPr="00862D21" w:rsidRDefault="00F61E19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15" w:type="dxa"/>
          </w:tcPr>
          <w:p w14:paraId="7105CEC3" w14:textId="77777777" w:rsidR="00F61E19" w:rsidRPr="00862D21" w:rsidRDefault="00F61E19" w:rsidP="00627FF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В обох випадках не береться до уваги перекачування питної води трубопроводами.</w:t>
            </w:r>
          </w:p>
        </w:tc>
      </w:tr>
      <w:tr w:rsidR="00862D21" w:rsidRPr="00862D21" w14:paraId="30CA824B" w14:textId="77777777" w:rsidTr="0056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729797BF" w14:textId="77777777" w:rsidR="00862D21" w:rsidRPr="00862D21" w:rsidRDefault="00F61E19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</w:t>
            </w:r>
          </w:p>
        </w:tc>
        <w:tc>
          <w:tcPr>
            <w:tcW w:w="8715" w:type="dxa"/>
          </w:tcPr>
          <w:p w14:paraId="3CA5696E" w14:textId="77777777" w:rsidR="00862D21" w:rsidRPr="00862D21" w:rsidRDefault="00862D21" w:rsidP="00627FF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Очисні станції з продуктивністю, яка перевищує еквівалент забезпечення 150 000 людей, як визначено в підпункті 6 статті 2 Директиви 91/271/ЄЕС (</w:t>
            </w:r>
            <w:r w:rsidRPr="00862D21">
              <w:rPr>
                <w:rStyle w:val="a6"/>
                <w:sz w:val="20"/>
                <w:szCs w:val="20"/>
                <w:lang w:val="uk-UA"/>
              </w:rPr>
              <w:footnoteReference w:id="6"/>
            </w:r>
            <w:r w:rsidRPr="00862D21">
              <w:rPr>
                <w:sz w:val="20"/>
                <w:szCs w:val="20"/>
                <w:lang w:val="uk-UA"/>
              </w:rPr>
              <w:t>).</w:t>
            </w:r>
          </w:p>
        </w:tc>
      </w:tr>
      <w:tr w:rsidR="00862D21" w:rsidRPr="00862D21" w14:paraId="16D81DE2" w14:textId="77777777" w:rsidTr="00561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63F54F36" w14:textId="77777777" w:rsidR="00862D21" w:rsidRPr="00862D21" w:rsidRDefault="00F61E19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</w:t>
            </w:r>
          </w:p>
        </w:tc>
        <w:tc>
          <w:tcPr>
            <w:tcW w:w="8715" w:type="dxa"/>
          </w:tcPr>
          <w:p w14:paraId="54ECADE5" w14:textId="77777777" w:rsidR="00862D21" w:rsidRPr="00862D21" w:rsidRDefault="00862D21" w:rsidP="00627FF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Видобуток нафти і природного газу з комерційною метою у випадках, коли видобутий об’єм перевищує 500 т на день для нафти і 500 000 метрів кубічних для газу.</w:t>
            </w:r>
          </w:p>
        </w:tc>
      </w:tr>
      <w:tr w:rsidR="00862D21" w:rsidRPr="004B6C56" w14:paraId="2FFBA5DD" w14:textId="77777777" w:rsidTr="0056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7BFF2BF5" w14:textId="77777777" w:rsidR="00862D21" w:rsidRPr="00862D21" w:rsidRDefault="00F61E19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</w:t>
            </w:r>
          </w:p>
        </w:tc>
        <w:tc>
          <w:tcPr>
            <w:tcW w:w="8715" w:type="dxa"/>
          </w:tcPr>
          <w:p w14:paraId="07465370" w14:textId="77777777" w:rsidR="00862D21" w:rsidRPr="00862D21" w:rsidRDefault="00862D21" w:rsidP="00627FF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Дамби та інше обладнання для стримування і постійного збору води у випадку, коли нові або додаткові маси стриманих або нагромаджених вод перевищують 10 млн. метрів кубічних.</w:t>
            </w:r>
          </w:p>
        </w:tc>
      </w:tr>
      <w:tr w:rsidR="00862D21" w:rsidRPr="004B6C56" w14:paraId="47E982B8" w14:textId="77777777" w:rsidTr="00561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6416CF46" w14:textId="77777777" w:rsidR="00862D21" w:rsidRPr="00862D21" w:rsidRDefault="00F61E19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</w:t>
            </w:r>
          </w:p>
        </w:tc>
        <w:tc>
          <w:tcPr>
            <w:tcW w:w="8715" w:type="dxa"/>
          </w:tcPr>
          <w:p w14:paraId="5A1A8EEA" w14:textId="77777777" w:rsidR="00862D21" w:rsidRPr="00862D21" w:rsidRDefault="00862D21" w:rsidP="00627FF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Трубопроводи для транспортування газу, нафти і хімікалій з діаметром більше 800 мм і довжиною більше 40 км.</w:t>
            </w:r>
          </w:p>
        </w:tc>
      </w:tr>
      <w:tr w:rsidR="00F61E19" w:rsidRPr="004B6C56" w14:paraId="5BB51CE8" w14:textId="77777777" w:rsidTr="0056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 w:val="restart"/>
            <w:vAlign w:val="center"/>
          </w:tcPr>
          <w:p w14:paraId="6448B345" w14:textId="77777777" w:rsidR="00F61E19" w:rsidRPr="00862D21" w:rsidRDefault="00F61E19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</w:t>
            </w:r>
          </w:p>
        </w:tc>
        <w:tc>
          <w:tcPr>
            <w:tcW w:w="8715" w:type="dxa"/>
          </w:tcPr>
          <w:p w14:paraId="54124385" w14:textId="77777777" w:rsidR="00F61E19" w:rsidRPr="00862D21" w:rsidRDefault="00F61E19" w:rsidP="00627FF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Обладнання для інтенсивної годівлі домашньої птиці або свиней місткістю понад:</w:t>
            </w:r>
          </w:p>
        </w:tc>
      </w:tr>
      <w:tr w:rsidR="00F61E19" w:rsidRPr="00862D21" w14:paraId="4C14B14C" w14:textId="77777777" w:rsidTr="00561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vAlign w:val="center"/>
          </w:tcPr>
          <w:p w14:paraId="4E22D715" w14:textId="77777777" w:rsidR="00F61E19" w:rsidRPr="008200F6" w:rsidRDefault="00F61E19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15" w:type="dxa"/>
          </w:tcPr>
          <w:p w14:paraId="29A22290" w14:textId="77777777" w:rsidR="00F61E19" w:rsidRPr="00862D21" w:rsidRDefault="00F61E19" w:rsidP="00627FF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</w:rPr>
              <w:t>(</w:t>
            </w:r>
            <w:r w:rsidRPr="00862D21">
              <w:rPr>
                <w:sz w:val="20"/>
                <w:szCs w:val="20"/>
                <w:lang w:val="uk-UA"/>
              </w:rPr>
              <w:t>а) 85 000 місць для бройлерів, 60 000 місць для курей;</w:t>
            </w:r>
          </w:p>
        </w:tc>
      </w:tr>
      <w:tr w:rsidR="00F61E19" w:rsidRPr="00862D21" w14:paraId="6D2D0E84" w14:textId="77777777" w:rsidTr="0056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vAlign w:val="center"/>
          </w:tcPr>
          <w:p w14:paraId="50E29949" w14:textId="77777777" w:rsidR="00F61E19" w:rsidRPr="00862D21" w:rsidRDefault="00F61E19" w:rsidP="00F61E1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5" w:type="dxa"/>
          </w:tcPr>
          <w:p w14:paraId="201F55D8" w14:textId="77777777" w:rsidR="00F61E19" w:rsidRPr="00862D21" w:rsidRDefault="00F61E19" w:rsidP="00627FF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</w:rPr>
              <w:t>(</w:t>
            </w:r>
            <w:r w:rsidRPr="00862D21">
              <w:rPr>
                <w:sz w:val="20"/>
                <w:szCs w:val="20"/>
                <w:lang w:val="en-US"/>
              </w:rPr>
              <w:t>b</w:t>
            </w:r>
            <w:r w:rsidRPr="00862D21">
              <w:rPr>
                <w:sz w:val="20"/>
                <w:szCs w:val="20"/>
                <w:lang w:val="uk-UA"/>
              </w:rPr>
              <w:t>) 3000 місць для продуктивних свиней (понад 30 кг); або</w:t>
            </w:r>
          </w:p>
        </w:tc>
      </w:tr>
      <w:tr w:rsidR="00F61E19" w:rsidRPr="00862D21" w14:paraId="690A14C2" w14:textId="77777777" w:rsidTr="00561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vAlign w:val="center"/>
          </w:tcPr>
          <w:p w14:paraId="7492CFFE" w14:textId="77777777" w:rsidR="00F61E19" w:rsidRPr="00862D21" w:rsidRDefault="00F61E19" w:rsidP="00F61E1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5" w:type="dxa"/>
          </w:tcPr>
          <w:p w14:paraId="3F422ECC" w14:textId="77777777" w:rsidR="00F61E19" w:rsidRPr="00862D21" w:rsidRDefault="00F61E19" w:rsidP="00627FF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</w:rPr>
              <w:t>(</w:t>
            </w:r>
            <w:r w:rsidRPr="00862D21">
              <w:rPr>
                <w:sz w:val="20"/>
                <w:szCs w:val="20"/>
                <w:lang w:val="uk-UA"/>
              </w:rPr>
              <w:t>с) 900 місць для свиноматок.</w:t>
            </w:r>
          </w:p>
        </w:tc>
      </w:tr>
      <w:tr w:rsidR="00F61E19" w:rsidRPr="00862D21" w14:paraId="68B799A8" w14:textId="77777777" w:rsidTr="0056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 w:val="restart"/>
            <w:vAlign w:val="center"/>
          </w:tcPr>
          <w:p w14:paraId="42CB4FB6" w14:textId="77777777" w:rsidR="00F61E19" w:rsidRPr="00862D21" w:rsidRDefault="00F61E19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</w:t>
            </w:r>
          </w:p>
        </w:tc>
        <w:tc>
          <w:tcPr>
            <w:tcW w:w="8715" w:type="dxa"/>
          </w:tcPr>
          <w:p w14:paraId="0CBDCEEA" w14:textId="77777777" w:rsidR="00F61E19" w:rsidRPr="00862D21" w:rsidRDefault="00F61E19" w:rsidP="00627FF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Промислові підприємства для:</w:t>
            </w:r>
          </w:p>
        </w:tc>
      </w:tr>
      <w:tr w:rsidR="00F61E19" w:rsidRPr="00862D21" w14:paraId="5260ADCA" w14:textId="77777777" w:rsidTr="00561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vAlign w:val="center"/>
          </w:tcPr>
          <w:p w14:paraId="668EBA24" w14:textId="77777777" w:rsidR="00F61E19" w:rsidRPr="00862D21" w:rsidRDefault="00F61E19" w:rsidP="00F61E1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5" w:type="dxa"/>
          </w:tcPr>
          <w:p w14:paraId="0C87D770" w14:textId="77777777" w:rsidR="00F61E19" w:rsidRPr="00862D21" w:rsidRDefault="00F61E19" w:rsidP="00627FF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</w:rPr>
              <w:t>(</w:t>
            </w:r>
            <w:r w:rsidRPr="00862D21">
              <w:rPr>
                <w:sz w:val="20"/>
                <w:szCs w:val="20"/>
                <w:lang w:val="uk-UA"/>
              </w:rPr>
              <w:t>а) виробництва  целюлозної маси з дерева або схожих волокнистих матеріалів;</w:t>
            </w:r>
          </w:p>
        </w:tc>
      </w:tr>
      <w:tr w:rsidR="00F61E19" w:rsidRPr="00862D21" w14:paraId="5BCD9CA8" w14:textId="77777777" w:rsidTr="0056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vAlign w:val="center"/>
          </w:tcPr>
          <w:p w14:paraId="61F810DF" w14:textId="77777777" w:rsidR="00F61E19" w:rsidRPr="00862D21" w:rsidRDefault="00F61E19" w:rsidP="00F61E1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5" w:type="dxa"/>
          </w:tcPr>
          <w:p w14:paraId="04AC29D6" w14:textId="77777777" w:rsidR="00F61E19" w:rsidRPr="00862D21" w:rsidRDefault="00F61E19" w:rsidP="00627FF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</w:rPr>
              <w:t>(</w:t>
            </w:r>
            <w:r w:rsidRPr="00862D21">
              <w:rPr>
                <w:sz w:val="20"/>
                <w:szCs w:val="20"/>
                <w:lang w:val="en-US"/>
              </w:rPr>
              <w:t>b</w:t>
            </w:r>
            <w:r w:rsidRPr="00862D21">
              <w:rPr>
                <w:sz w:val="20"/>
                <w:szCs w:val="20"/>
                <w:lang w:val="uk-UA"/>
              </w:rPr>
              <w:t>) виробництва паперу і картону з продуктивністю понад 200 т на день.</w:t>
            </w:r>
          </w:p>
        </w:tc>
      </w:tr>
      <w:tr w:rsidR="00862D21" w:rsidRPr="004B6C56" w14:paraId="656099FE" w14:textId="77777777" w:rsidTr="00561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79FFAF6C" w14:textId="77777777" w:rsidR="00862D21" w:rsidRPr="00862D21" w:rsidRDefault="00F61E19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19.</w:t>
            </w:r>
          </w:p>
        </w:tc>
        <w:tc>
          <w:tcPr>
            <w:tcW w:w="8715" w:type="dxa"/>
          </w:tcPr>
          <w:p w14:paraId="60F9ACA2" w14:textId="77777777" w:rsidR="00862D21" w:rsidRPr="00862D21" w:rsidRDefault="00862D21" w:rsidP="00627FF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 xml:space="preserve">Кар’єри і відкриті розробки у випадку, коли площа підприємств перевищує 25 га або видобуток торфу на підприємстві з площею понад 150 га. </w:t>
            </w:r>
          </w:p>
        </w:tc>
      </w:tr>
      <w:tr w:rsidR="00862D21" w:rsidRPr="004B6C56" w14:paraId="46A24BC2" w14:textId="77777777" w:rsidTr="0056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460088A1" w14:textId="77777777" w:rsidR="00862D21" w:rsidRPr="00862D21" w:rsidRDefault="00F61E19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</w:t>
            </w:r>
          </w:p>
        </w:tc>
        <w:tc>
          <w:tcPr>
            <w:tcW w:w="8715" w:type="dxa"/>
          </w:tcPr>
          <w:p w14:paraId="1D865CC9" w14:textId="77777777" w:rsidR="00862D21" w:rsidRPr="00862D21" w:rsidRDefault="00862D21" w:rsidP="00627FF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Розміщення наземних електричних ліній з напругою щонайменше 220 кіловат і довжиною понад 15 км.</w:t>
            </w:r>
          </w:p>
        </w:tc>
      </w:tr>
      <w:tr w:rsidR="00862D21" w:rsidRPr="004B6C56" w14:paraId="369C1FF9" w14:textId="77777777" w:rsidTr="00561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5B4128EB" w14:textId="77777777" w:rsidR="00862D21" w:rsidRPr="00862D21" w:rsidRDefault="00F61E19" w:rsidP="00F61E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21.</w:t>
            </w:r>
          </w:p>
        </w:tc>
        <w:tc>
          <w:tcPr>
            <w:tcW w:w="8715" w:type="dxa"/>
          </w:tcPr>
          <w:p w14:paraId="6DCB983C" w14:textId="77777777" w:rsidR="00862D21" w:rsidRPr="0036177C" w:rsidRDefault="00862D21" w:rsidP="00627FF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 w:rsidRPr="00862D21">
              <w:rPr>
                <w:sz w:val="20"/>
                <w:szCs w:val="20"/>
                <w:lang w:val="uk-UA"/>
              </w:rPr>
              <w:t>Обладнання для  нагромадження нафти, нафтохімічних і хімічних продуктів з місткістю щонайменше 200 000 т.</w:t>
            </w:r>
          </w:p>
        </w:tc>
      </w:tr>
    </w:tbl>
    <w:p w14:paraId="1E8355C5" w14:textId="77777777" w:rsidR="0036177C" w:rsidRPr="0036177C" w:rsidRDefault="0036177C" w:rsidP="0036177C">
      <w:pPr>
        <w:ind w:left="1620" w:right="-360" w:hanging="360"/>
        <w:contextualSpacing/>
        <w:jc w:val="both"/>
        <w:rPr>
          <w:sz w:val="20"/>
          <w:szCs w:val="20"/>
          <w:lang w:val="uk-UA"/>
        </w:rPr>
      </w:pPr>
    </w:p>
    <w:p w14:paraId="2F7E36E4" w14:textId="77777777" w:rsidR="0036177C" w:rsidRPr="00EC1D91" w:rsidRDefault="0036177C" w:rsidP="0036177C">
      <w:pPr>
        <w:contextualSpacing/>
        <w:rPr>
          <w:sz w:val="24"/>
          <w:szCs w:val="24"/>
          <w:lang w:val="uk-UA"/>
        </w:rPr>
      </w:pPr>
    </w:p>
    <w:p w14:paraId="180C97E1" w14:textId="77777777" w:rsidR="00340EE9" w:rsidRDefault="00340EE9" w:rsidP="0036177C">
      <w:pPr>
        <w:contextualSpacing/>
        <w:rPr>
          <w:sz w:val="24"/>
          <w:szCs w:val="24"/>
          <w:lang w:val="uk-UA"/>
        </w:rPr>
      </w:pPr>
    </w:p>
    <w:p w14:paraId="362B5E6B" w14:textId="77777777" w:rsidR="00340EE9" w:rsidRPr="00340EE9" w:rsidRDefault="00340EE9" w:rsidP="0036177C">
      <w:pPr>
        <w:contextualSpacing/>
        <w:rPr>
          <w:sz w:val="24"/>
          <w:szCs w:val="24"/>
          <w:lang w:val="uk-UA"/>
        </w:rPr>
      </w:pPr>
    </w:p>
    <w:p w14:paraId="38D1F3E1" w14:textId="77777777" w:rsidR="002E7C84" w:rsidRDefault="002E7C84" w:rsidP="0036177C">
      <w:pPr>
        <w:contextualSpacing/>
        <w:rPr>
          <w:sz w:val="24"/>
          <w:szCs w:val="24"/>
          <w:lang w:val="uk-UA"/>
        </w:rPr>
      </w:pPr>
    </w:p>
    <w:p w14:paraId="6985E3BD" w14:textId="77777777" w:rsidR="002E7C84" w:rsidRDefault="002E7C84" w:rsidP="0036177C">
      <w:pPr>
        <w:contextualSpacing/>
        <w:rPr>
          <w:sz w:val="24"/>
          <w:szCs w:val="24"/>
          <w:lang w:val="uk-UA"/>
        </w:rPr>
      </w:pPr>
    </w:p>
    <w:p w14:paraId="507EC42B" w14:textId="77777777" w:rsidR="002E7C84" w:rsidRPr="00586CFE" w:rsidRDefault="002E7C84" w:rsidP="0036177C">
      <w:pPr>
        <w:contextualSpacing/>
        <w:rPr>
          <w:sz w:val="24"/>
          <w:szCs w:val="24"/>
          <w:lang w:val="uk-UA"/>
        </w:rPr>
      </w:pPr>
    </w:p>
    <w:sectPr w:rsidR="002E7C84" w:rsidRPr="0058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853D9" w14:textId="77777777" w:rsidR="00745608" w:rsidRDefault="00745608" w:rsidP="0036177C">
      <w:pPr>
        <w:spacing w:after="0" w:line="240" w:lineRule="auto"/>
      </w:pPr>
      <w:r>
        <w:separator/>
      </w:r>
    </w:p>
  </w:endnote>
  <w:endnote w:type="continuationSeparator" w:id="0">
    <w:p w14:paraId="2A414DAF" w14:textId="77777777" w:rsidR="00745608" w:rsidRDefault="00745608" w:rsidP="00361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5DA2D" w14:textId="77777777" w:rsidR="00745608" w:rsidRDefault="00745608" w:rsidP="0036177C">
      <w:pPr>
        <w:spacing w:after="0" w:line="240" w:lineRule="auto"/>
      </w:pPr>
      <w:r>
        <w:separator/>
      </w:r>
    </w:p>
  </w:footnote>
  <w:footnote w:type="continuationSeparator" w:id="0">
    <w:p w14:paraId="74F0F62D" w14:textId="77777777" w:rsidR="00745608" w:rsidRDefault="00745608" w:rsidP="0036177C">
      <w:pPr>
        <w:spacing w:after="0" w:line="240" w:lineRule="auto"/>
      </w:pPr>
      <w:r>
        <w:continuationSeparator/>
      </w:r>
    </w:p>
  </w:footnote>
  <w:footnote w:id="1">
    <w:p w14:paraId="14F92196" w14:textId="77777777" w:rsidR="008200F6" w:rsidRPr="0006256F" w:rsidRDefault="008200F6" w:rsidP="0036177C">
      <w:pPr>
        <w:pStyle w:val="a4"/>
        <w:ind w:left="1620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</w:t>
      </w:r>
      <w:r w:rsidRPr="0006256F">
        <w:rPr>
          <w:rStyle w:val="a6"/>
          <w:sz w:val="16"/>
          <w:szCs w:val="16"/>
        </w:rPr>
        <w:t>*</w:t>
      </w:r>
      <w:r>
        <w:rPr>
          <w:sz w:val="16"/>
          <w:szCs w:val="16"/>
          <w:lang w:val="uk-UA"/>
        </w:rPr>
        <w:t>)</w:t>
      </w:r>
      <w:r w:rsidRPr="0006256F">
        <w:rPr>
          <w:sz w:val="16"/>
          <w:szCs w:val="16"/>
        </w:rPr>
        <w:t xml:space="preserve"> </w:t>
      </w:r>
      <w:r w:rsidRPr="0006256F">
        <w:rPr>
          <w:sz w:val="16"/>
          <w:szCs w:val="16"/>
          <w:lang w:val="uk-UA"/>
        </w:rPr>
        <w:t>Атомні електростанції та атомні реактори визнаються недіючими тоді, коли все атомне паливо та інші радіоактивно забруднені елементи вилучені з обладнання на постійній основі.</w:t>
      </w:r>
    </w:p>
  </w:footnote>
  <w:footnote w:id="2">
    <w:p w14:paraId="62C60B67" w14:textId="77777777" w:rsidR="00AB5EB5" w:rsidRPr="0006256F" w:rsidRDefault="00AB5EB5" w:rsidP="00AB5EB5">
      <w:pPr>
        <w:pStyle w:val="a4"/>
        <w:ind w:left="1620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</w:t>
      </w:r>
      <w:r w:rsidRPr="0006256F">
        <w:rPr>
          <w:rStyle w:val="a6"/>
          <w:sz w:val="16"/>
          <w:szCs w:val="16"/>
        </w:rPr>
        <w:footnoteRef/>
      </w:r>
      <w:r>
        <w:rPr>
          <w:sz w:val="16"/>
          <w:szCs w:val="16"/>
          <w:lang w:val="uk-UA"/>
        </w:rPr>
        <w:t>) Для</w:t>
      </w:r>
      <w:r w:rsidRPr="0006256F">
        <w:rPr>
          <w:sz w:val="16"/>
          <w:szCs w:val="16"/>
          <w:lang w:val="uk-UA"/>
        </w:rPr>
        <w:t xml:space="preserve"> цілей цієї Директиви „аеропорт” означає аеропорт згідно з визначенням, яке міститься в Чиказькій Конвенції 1944 р</w:t>
      </w:r>
      <w:r>
        <w:rPr>
          <w:sz w:val="16"/>
          <w:szCs w:val="16"/>
          <w:lang w:val="uk-UA"/>
        </w:rPr>
        <w:t>оку</w:t>
      </w:r>
      <w:r w:rsidRPr="0006256F">
        <w:rPr>
          <w:sz w:val="16"/>
          <w:szCs w:val="16"/>
          <w:lang w:val="uk-UA"/>
        </w:rPr>
        <w:t xml:space="preserve"> про створення Міжнародної організації цивільної авіації (Додаток 14).</w:t>
      </w:r>
    </w:p>
  </w:footnote>
  <w:footnote w:id="3">
    <w:p w14:paraId="62B06C85" w14:textId="77777777" w:rsidR="00AB5EB5" w:rsidRPr="0006256F" w:rsidRDefault="00AB5EB5" w:rsidP="00AB5EB5">
      <w:pPr>
        <w:pStyle w:val="a4"/>
        <w:ind w:left="1620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</w:t>
      </w:r>
      <w:r w:rsidRPr="0006256F">
        <w:rPr>
          <w:rStyle w:val="a6"/>
          <w:sz w:val="16"/>
          <w:szCs w:val="16"/>
        </w:rPr>
        <w:footnoteRef/>
      </w:r>
      <w:r>
        <w:rPr>
          <w:sz w:val="16"/>
          <w:szCs w:val="16"/>
          <w:lang w:val="uk-UA"/>
        </w:rPr>
        <w:t>)</w:t>
      </w:r>
      <w:r w:rsidRPr="00022FD2">
        <w:rPr>
          <w:sz w:val="16"/>
          <w:szCs w:val="16"/>
          <w:lang w:val="uk-UA"/>
        </w:rPr>
        <w:t xml:space="preserve"> </w:t>
      </w:r>
      <w:r>
        <w:rPr>
          <w:sz w:val="16"/>
          <w:szCs w:val="16"/>
          <w:lang w:val="uk-UA"/>
        </w:rPr>
        <w:t>Для</w:t>
      </w:r>
      <w:r w:rsidRPr="0006256F">
        <w:rPr>
          <w:sz w:val="16"/>
          <w:szCs w:val="16"/>
          <w:lang w:val="uk-UA"/>
        </w:rPr>
        <w:t xml:space="preserve"> цілей цієї Директиви „дорога швидкого руху”</w:t>
      </w:r>
      <w:r>
        <w:rPr>
          <w:sz w:val="16"/>
          <w:szCs w:val="16"/>
          <w:lang w:val="uk-UA"/>
        </w:rPr>
        <w:t xml:space="preserve"> означає дорогу, яка відповідає</w:t>
      </w:r>
      <w:r w:rsidRPr="0006256F">
        <w:rPr>
          <w:sz w:val="16"/>
          <w:szCs w:val="16"/>
          <w:lang w:val="uk-UA"/>
        </w:rPr>
        <w:t xml:space="preserve"> умовам </w:t>
      </w:r>
      <w:r>
        <w:rPr>
          <w:sz w:val="16"/>
          <w:szCs w:val="16"/>
          <w:lang w:val="uk-UA"/>
        </w:rPr>
        <w:t>Європейської Угоди про міжнародні автомагістралі</w:t>
      </w:r>
      <w:r w:rsidRPr="0006256F">
        <w:rPr>
          <w:sz w:val="16"/>
          <w:szCs w:val="16"/>
          <w:lang w:val="uk-UA"/>
        </w:rPr>
        <w:t xml:space="preserve"> від 15 листопада 1975 р</w:t>
      </w:r>
      <w:r>
        <w:rPr>
          <w:sz w:val="16"/>
          <w:szCs w:val="16"/>
          <w:lang w:val="uk-UA"/>
        </w:rPr>
        <w:t>оку.</w:t>
      </w:r>
    </w:p>
  </w:footnote>
  <w:footnote w:id="4">
    <w:p w14:paraId="348A39E1" w14:textId="77777777" w:rsidR="00862D21" w:rsidRPr="0006256F" w:rsidRDefault="00862D21" w:rsidP="0036177C">
      <w:pPr>
        <w:pStyle w:val="a4"/>
        <w:ind w:left="162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</w:t>
      </w:r>
      <w:r w:rsidRPr="0006256F">
        <w:rPr>
          <w:rStyle w:val="a6"/>
          <w:sz w:val="16"/>
          <w:szCs w:val="16"/>
        </w:rPr>
        <w:footnoteRef/>
      </w:r>
      <w:r>
        <w:rPr>
          <w:sz w:val="16"/>
          <w:szCs w:val="16"/>
          <w:lang w:val="uk-UA"/>
        </w:rPr>
        <w:t>)</w:t>
      </w:r>
      <w:r w:rsidRPr="0006256F">
        <w:rPr>
          <w:sz w:val="16"/>
          <w:szCs w:val="16"/>
        </w:rPr>
        <w:t xml:space="preserve"> </w:t>
      </w:r>
      <w:r w:rsidRPr="0006256F">
        <w:rPr>
          <w:sz w:val="16"/>
          <w:szCs w:val="16"/>
          <w:lang w:val="uk-UA"/>
        </w:rPr>
        <w:t xml:space="preserve">ОВ </w:t>
      </w:r>
      <w:r w:rsidRPr="0006256F">
        <w:rPr>
          <w:sz w:val="16"/>
          <w:szCs w:val="16"/>
          <w:lang w:val="en-US"/>
        </w:rPr>
        <w:t>L</w:t>
      </w:r>
      <w:r w:rsidRPr="0006256F">
        <w:rPr>
          <w:sz w:val="16"/>
          <w:szCs w:val="16"/>
        </w:rPr>
        <w:t xml:space="preserve"> </w:t>
      </w:r>
      <w:r w:rsidRPr="0006256F">
        <w:rPr>
          <w:sz w:val="16"/>
          <w:szCs w:val="16"/>
          <w:lang w:val="uk-UA"/>
        </w:rPr>
        <w:t>194 від 25.7.1975</w:t>
      </w:r>
      <w:r>
        <w:rPr>
          <w:sz w:val="16"/>
          <w:szCs w:val="16"/>
          <w:lang w:val="uk-UA"/>
        </w:rPr>
        <w:t xml:space="preserve"> року, С. </w:t>
      </w:r>
      <w:r w:rsidRPr="0006256F">
        <w:rPr>
          <w:sz w:val="16"/>
          <w:szCs w:val="16"/>
          <w:lang w:val="uk-UA"/>
        </w:rPr>
        <w:t xml:space="preserve">39. Директива </w:t>
      </w:r>
      <w:r>
        <w:rPr>
          <w:sz w:val="16"/>
          <w:szCs w:val="16"/>
          <w:lang w:val="uk-UA"/>
        </w:rPr>
        <w:t>з останніми змінами, внесеними</w:t>
      </w:r>
      <w:r w:rsidRPr="0006256F">
        <w:rPr>
          <w:sz w:val="16"/>
          <w:szCs w:val="16"/>
          <w:lang w:val="uk-UA"/>
        </w:rPr>
        <w:t xml:space="preserve"> Рішенням Комісії 94/3/ЄС (ОВ</w:t>
      </w:r>
      <w:r w:rsidRPr="0006256F">
        <w:rPr>
          <w:sz w:val="16"/>
          <w:szCs w:val="16"/>
        </w:rPr>
        <w:t xml:space="preserve"> </w:t>
      </w:r>
      <w:r w:rsidRPr="0006256F">
        <w:rPr>
          <w:sz w:val="16"/>
          <w:szCs w:val="16"/>
          <w:lang w:val="en-US"/>
        </w:rPr>
        <w:t>L</w:t>
      </w:r>
      <w:r w:rsidRPr="0006256F">
        <w:rPr>
          <w:sz w:val="16"/>
          <w:szCs w:val="16"/>
        </w:rPr>
        <w:t xml:space="preserve"> </w:t>
      </w:r>
      <w:r w:rsidRPr="0006256F">
        <w:rPr>
          <w:sz w:val="16"/>
          <w:szCs w:val="16"/>
          <w:lang w:val="uk-UA"/>
        </w:rPr>
        <w:t>5 від 7.1.1994</w:t>
      </w:r>
      <w:r>
        <w:rPr>
          <w:sz w:val="16"/>
          <w:szCs w:val="16"/>
          <w:lang w:val="uk-UA"/>
        </w:rPr>
        <w:t xml:space="preserve"> року</w:t>
      </w:r>
      <w:r w:rsidRPr="0006256F">
        <w:rPr>
          <w:sz w:val="16"/>
          <w:szCs w:val="16"/>
          <w:lang w:val="uk-UA"/>
        </w:rPr>
        <w:t xml:space="preserve">, </w:t>
      </w:r>
      <w:r>
        <w:rPr>
          <w:sz w:val="16"/>
          <w:szCs w:val="16"/>
          <w:lang w:val="uk-UA"/>
        </w:rPr>
        <w:t>С</w:t>
      </w:r>
      <w:r w:rsidRPr="0006256F">
        <w:rPr>
          <w:sz w:val="16"/>
          <w:szCs w:val="16"/>
          <w:lang w:val="uk-UA"/>
        </w:rPr>
        <w:t>.15).</w:t>
      </w:r>
    </w:p>
  </w:footnote>
  <w:footnote w:id="5">
    <w:p w14:paraId="35DB4408" w14:textId="77777777" w:rsidR="00862D21" w:rsidRPr="0006256F" w:rsidRDefault="00862D21" w:rsidP="0036177C">
      <w:pPr>
        <w:pStyle w:val="a4"/>
        <w:ind w:left="162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</w:t>
      </w:r>
      <w:r w:rsidRPr="0006256F">
        <w:rPr>
          <w:rStyle w:val="a6"/>
          <w:sz w:val="16"/>
          <w:szCs w:val="16"/>
        </w:rPr>
        <w:footnoteRef/>
      </w:r>
      <w:r>
        <w:rPr>
          <w:sz w:val="16"/>
          <w:szCs w:val="16"/>
          <w:lang w:val="uk-UA"/>
        </w:rPr>
        <w:t>)</w:t>
      </w:r>
      <w:r w:rsidRPr="0006256F">
        <w:rPr>
          <w:sz w:val="16"/>
          <w:szCs w:val="16"/>
        </w:rPr>
        <w:t xml:space="preserve"> </w:t>
      </w:r>
      <w:r w:rsidRPr="0006256F">
        <w:rPr>
          <w:sz w:val="16"/>
          <w:szCs w:val="16"/>
          <w:lang w:val="uk-UA"/>
        </w:rPr>
        <w:t xml:space="preserve">ОВ </w:t>
      </w:r>
      <w:r w:rsidRPr="0006256F">
        <w:rPr>
          <w:sz w:val="16"/>
          <w:szCs w:val="16"/>
          <w:lang w:val="en-US"/>
        </w:rPr>
        <w:t>L</w:t>
      </w:r>
      <w:r w:rsidRPr="0006256F">
        <w:rPr>
          <w:sz w:val="16"/>
          <w:szCs w:val="16"/>
        </w:rPr>
        <w:t xml:space="preserve"> </w:t>
      </w:r>
      <w:r w:rsidRPr="0006256F">
        <w:rPr>
          <w:sz w:val="16"/>
          <w:szCs w:val="16"/>
          <w:lang w:val="uk-UA"/>
        </w:rPr>
        <w:t>377 від 31.12.1991</w:t>
      </w:r>
      <w:r>
        <w:rPr>
          <w:sz w:val="16"/>
          <w:szCs w:val="16"/>
          <w:lang w:val="uk-UA"/>
        </w:rPr>
        <w:t xml:space="preserve"> року</w:t>
      </w:r>
      <w:r w:rsidRPr="0006256F">
        <w:rPr>
          <w:sz w:val="16"/>
          <w:szCs w:val="16"/>
          <w:lang w:val="uk-UA"/>
        </w:rPr>
        <w:t xml:space="preserve">, </w:t>
      </w:r>
      <w:r>
        <w:rPr>
          <w:sz w:val="16"/>
          <w:szCs w:val="16"/>
          <w:lang w:val="uk-UA"/>
        </w:rPr>
        <w:t>С</w:t>
      </w:r>
      <w:r w:rsidRPr="0006256F">
        <w:rPr>
          <w:sz w:val="16"/>
          <w:szCs w:val="16"/>
          <w:lang w:val="uk-UA"/>
        </w:rPr>
        <w:t xml:space="preserve">.20. Директива </w:t>
      </w:r>
      <w:r>
        <w:rPr>
          <w:sz w:val="16"/>
          <w:szCs w:val="16"/>
          <w:lang w:val="uk-UA"/>
        </w:rPr>
        <w:t>з останніми змінами, внесеними</w:t>
      </w:r>
      <w:r w:rsidRPr="0006256F">
        <w:rPr>
          <w:sz w:val="16"/>
          <w:szCs w:val="16"/>
          <w:lang w:val="uk-UA"/>
        </w:rPr>
        <w:t xml:space="preserve"> Директивою 94/31/ЄС (ОВ</w:t>
      </w:r>
      <w:r w:rsidRPr="00253594">
        <w:rPr>
          <w:sz w:val="16"/>
          <w:szCs w:val="16"/>
        </w:rPr>
        <w:t xml:space="preserve"> </w:t>
      </w:r>
      <w:r w:rsidRPr="0006256F">
        <w:rPr>
          <w:sz w:val="16"/>
          <w:szCs w:val="16"/>
          <w:lang w:val="en-US"/>
        </w:rPr>
        <w:t>L</w:t>
      </w:r>
      <w:r w:rsidRPr="0006256F">
        <w:rPr>
          <w:sz w:val="16"/>
          <w:szCs w:val="16"/>
          <w:lang w:val="uk-UA"/>
        </w:rPr>
        <w:t xml:space="preserve"> 168 від 2.7.1994</w:t>
      </w:r>
      <w:r>
        <w:rPr>
          <w:sz w:val="16"/>
          <w:szCs w:val="16"/>
          <w:lang w:val="uk-UA"/>
        </w:rPr>
        <w:t xml:space="preserve"> року</w:t>
      </w:r>
      <w:r w:rsidRPr="0006256F">
        <w:rPr>
          <w:sz w:val="16"/>
          <w:szCs w:val="16"/>
          <w:lang w:val="uk-UA"/>
        </w:rPr>
        <w:t xml:space="preserve">, </w:t>
      </w:r>
      <w:r>
        <w:rPr>
          <w:sz w:val="16"/>
          <w:szCs w:val="16"/>
          <w:lang w:val="uk-UA"/>
        </w:rPr>
        <w:t>С</w:t>
      </w:r>
      <w:r w:rsidRPr="0006256F">
        <w:rPr>
          <w:sz w:val="16"/>
          <w:szCs w:val="16"/>
          <w:lang w:val="uk-UA"/>
        </w:rPr>
        <w:t>.28).</w:t>
      </w:r>
    </w:p>
  </w:footnote>
  <w:footnote w:id="6">
    <w:p w14:paraId="37CDB1D6" w14:textId="77777777" w:rsidR="00862D21" w:rsidRPr="0006256F" w:rsidRDefault="00862D21" w:rsidP="0036177C">
      <w:pPr>
        <w:pStyle w:val="a4"/>
        <w:ind w:left="162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</w:t>
      </w:r>
      <w:r w:rsidRPr="0006256F">
        <w:rPr>
          <w:rStyle w:val="a6"/>
          <w:sz w:val="16"/>
          <w:szCs w:val="16"/>
        </w:rPr>
        <w:footnoteRef/>
      </w:r>
      <w:r>
        <w:rPr>
          <w:sz w:val="16"/>
          <w:szCs w:val="16"/>
          <w:lang w:val="uk-UA"/>
        </w:rPr>
        <w:t>)</w:t>
      </w:r>
      <w:r w:rsidRPr="0006256F">
        <w:rPr>
          <w:sz w:val="16"/>
          <w:szCs w:val="16"/>
        </w:rPr>
        <w:t xml:space="preserve"> </w:t>
      </w:r>
      <w:r w:rsidRPr="0006256F">
        <w:rPr>
          <w:sz w:val="16"/>
          <w:szCs w:val="16"/>
          <w:lang w:val="uk-UA"/>
        </w:rPr>
        <w:t xml:space="preserve">ОВ </w:t>
      </w:r>
      <w:r w:rsidRPr="0006256F">
        <w:rPr>
          <w:sz w:val="16"/>
          <w:szCs w:val="16"/>
          <w:lang w:val="en-US"/>
        </w:rPr>
        <w:t>L</w:t>
      </w:r>
      <w:r w:rsidRPr="0006256F">
        <w:rPr>
          <w:sz w:val="16"/>
          <w:szCs w:val="16"/>
        </w:rPr>
        <w:t xml:space="preserve"> </w:t>
      </w:r>
      <w:r w:rsidRPr="0006256F">
        <w:rPr>
          <w:sz w:val="16"/>
          <w:szCs w:val="16"/>
          <w:lang w:val="uk-UA"/>
        </w:rPr>
        <w:t>135 від 30.5.1991</w:t>
      </w:r>
      <w:r>
        <w:rPr>
          <w:sz w:val="16"/>
          <w:szCs w:val="16"/>
          <w:lang w:val="uk-UA"/>
        </w:rPr>
        <w:t>року, С</w:t>
      </w:r>
      <w:r w:rsidRPr="0006256F">
        <w:rPr>
          <w:sz w:val="16"/>
          <w:szCs w:val="16"/>
          <w:lang w:val="uk-UA"/>
        </w:rPr>
        <w:t xml:space="preserve">.40. Директива </w:t>
      </w:r>
      <w:r>
        <w:rPr>
          <w:sz w:val="16"/>
          <w:szCs w:val="16"/>
          <w:lang w:val="uk-UA"/>
        </w:rPr>
        <w:t>з останніми змінами, внесеними</w:t>
      </w:r>
      <w:r w:rsidRPr="0006256F">
        <w:rPr>
          <w:sz w:val="16"/>
          <w:szCs w:val="16"/>
          <w:lang w:val="uk-UA"/>
        </w:rPr>
        <w:t xml:space="preserve"> Актом Приєднання 1994 р</w:t>
      </w:r>
      <w:r>
        <w:rPr>
          <w:sz w:val="16"/>
          <w:szCs w:val="16"/>
          <w:lang w:val="uk-UA"/>
        </w:rPr>
        <w:t>оку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71"/>
    <w:rsid w:val="000A6FA2"/>
    <w:rsid w:val="001E4AE5"/>
    <w:rsid w:val="00206D48"/>
    <w:rsid w:val="00213791"/>
    <w:rsid w:val="00245444"/>
    <w:rsid w:val="00281339"/>
    <w:rsid w:val="002E7C84"/>
    <w:rsid w:val="00314139"/>
    <w:rsid w:val="0033067B"/>
    <w:rsid w:val="003359F6"/>
    <w:rsid w:val="00340EE9"/>
    <w:rsid w:val="0036177C"/>
    <w:rsid w:val="003F0404"/>
    <w:rsid w:val="00447554"/>
    <w:rsid w:val="004B6C56"/>
    <w:rsid w:val="004C0552"/>
    <w:rsid w:val="004C4F40"/>
    <w:rsid w:val="00535B57"/>
    <w:rsid w:val="00540D82"/>
    <w:rsid w:val="00561B7A"/>
    <w:rsid w:val="005848D2"/>
    <w:rsid w:val="00586CFE"/>
    <w:rsid w:val="00602BD5"/>
    <w:rsid w:val="00640AF5"/>
    <w:rsid w:val="006526C1"/>
    <w:rsid w:val="00654754"/>
    <w:rsid w:val="00745608"/>
    <w:rsid w:val="00785BC4"/>
    <w:rsid w:val="007E076D"/>
    <w:rsid w:val="007F612B"/>
    <w:rsid w:val="008200F6"/>
    <w:rsid w:val="008308FF"/>
    <w:rsid w:val="00855ED3"/>
    <w:rsid w:val="00862D21"/>
    <w:rsid w:val="00883A96"/>
    <w:rsid w:val="008A1986"/>
    <w:rsid w:val="008C7DE5"/>
    <w:rsid w:val="008E25BE"/>
    <w:rsid w:val="009649B4"/>
    <w:rsid w:val="00967D32"/>
    <w:rsid w:val="00982815"/>
    <w:rsid w:val="009A5DE9"/>
    <w:rsid w:val="009D1185"/>
    <w:rsid w:val="009F52FB"/>
    <w:rsid w:val="00A00429"/>
    <w:rsid w:val="00AA2E18"/>
    <w:rsid w:val="00AB5EB5"/>
    <w:rsid w:val="00AB6919"/>
    <w:rsid w:val="00AD5C89"/>
    <w:rsid w:val="00B02621"/>
    <w:rsid w:val="00B02992"/>
    <w:rsid w:val="00BF31FA"/>
    <w:rsid w:val="00BF7999"/>
    <w:rsid w:val="00C4441D"/>
    <w:rsid w:val="00C505B4"/>
    <w:rsid w:val="00CA3A71"/>
    <w:rsid w:val="00CB0BBA"/>
    <w:rsid w:val="00D43DDF"/>
    <w:rsid w:val="00D52200"/>
    <w:rsid w:val="00DC35CE"/>
    <w:rsid w:val="00E41344"/>
    <w:rsid w:val="00E76790"/>
    <w:rsid w:val="00EC1D91"/>
    <w:rsid w:val="00EF38E6"/>
    <w:rsid w:val="00F2217A"/>
    <w:rsid w:val="00F61E19"/>
    <w:rsid w:val="00F62136"/>
    <w:rsid w:val="00F80C2D"/>
    <w:rsid w:val="00FC2BB4"/>
    <w:rsid w:val="00FC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A772"/>
  <w15:chartTrackingRefBased/>
  <w15:docId w15:val="{C9E93436-2F59-4B44-B7DC-3B676FB5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6790"/>
  </w:style>
  <w:style w:type="character" w:styleId="a3">
    <w:name w:val="Hyperlink"/>
    <w:basedOn w:val="a0"/>
    <w:uiPriority w:val="99"/>
    <w:semiHidden/>
    <w:unhideWhenUsed/>
    <w:rsid w:val="00E76790"/>
    <w:rPr>
      <w:color w:val="0000FF"/>
      <w:u w:val="single"/>
    </w:rPr>
  </w:style>
  <w:style w:type="paragraph" w:styleId="a4">
    <w:name w:val="footnote text"/>
    <w:basedOn w:val="a"/>
    <w:link w:val="a5"/>
    <w:semiHidden/>
    <w:rsid w:val="00361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иноски Знак"/>
    <w:basedOn w:val="a0"/>
    <w:link w:val="a4"/>
    <w:semiHidden/>
    <w:rsid w:val="003617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36177C"/>
    <w:rPr>
      <w:vertAlign w:val="superscript"/>
    </w:rPr>
  </w:style>
  <w:style w:type="table" w:styleId="a7">
    <w:name w:val="Table Grid"/>
    <w:basedOn w:val="a1"/>
    <w:uiPriority w:val="39"/>
    <w:rsid w:val="00862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5">
    <w:name w:val="Grid Table 4 Accent 5"/>
    <w:basedOn w:val="a1"/>
    <w:uiPriority w:val="49"/>
    <w:rsid w:val="00862D2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a8">
    <w:name w:val="annotation reference"/>
    <w:basedOn w:val="a0"/>
    <w:uiPriority w:val="99"/>
    <w:semiHidden/>
    <w:unhideWhenUsed/>
    <w:rsid w:val="009D118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1185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9D1185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B6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4B6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3709</Words>
  <Characters>2115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oleksandr-akulenko@rambler.ru</cp:lastModifiedBy>
  <cp:revision>6</cp:revision>
  <dcterms:created xsi:type="dcterms:W3CDTF">2016-11-02T18:34:00Z</dcterms:created>
  <dcterms:modified xsi:type="dcterms:W3CDTF">2016-11-03T12:09:00Z</dcterms:modified>
</cp:coreProperties>
</file>